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3CB4" w14:textId="0950DD6B" w:rsidR="005D4BFD" w:rsidRPr="00BD1F16" w:rsidRDefault="00062E24">
      <w:pPr>
        <w:spacing w:line="360" w:lineRule="auto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BD1F16">
        <w:rPr>
          <w:rFonts w:ascii="Arial" w:eastAsia="Calibri" w:hAnsi="Arial" w:cs="Arial"/>
          <w:b/>
          <w:sz w:val="22"/>
          <w:szCs w:val="22"/>
          <w:u w:val="single"/>
        </w:rPr>
        <w:t>LEI Nº</w:t>
      </w:r>
      <w:r w:rsidR="00BD1F16" w:rsidRPr="00BD1F16">
        <w:rPr>
          <w:rFonts w:ascii="Arial" w:eastAsia="Calibri" w:hAnsi="Arial" w:cs="Arial"/>
          <w:b/>
          <w:sz w:val="22"/>
          <w:szCs w:val="22"/>
          <w:u w:val="single"/>
        </w:rPr>
        <w:t xml:space="preserve"> 4.020</w:t>
      </w:r>
      <w:r w:rsidRPr="00BD1F16">
        <w:rPr>
          <w:rFonts w:ascii="Arial" w:eastAsia="Calibri" w:hAnsi="Arial" w:cs="Arial"/>
          <w:b/>
          <w:sz w:val="22"/>
          <w:szCs w:val="22"/>
          <w:u w:val="single"/>
        </w:rPr>
        <w:t xml:space="preserve">/2023, DE </w:t>
      </w:r>
      <w:r w:rsidR="00B312F6">
        <w:rPr>
          <w:rFonts w:ascii="Arial" w:eastAsia="Calibri" w:hAnsi="Arial" w:cs="Arial"/>
          <w:b/>
          <w:sz w:val="22"/>
          <w:szCs w:val="22"/>
          <w:u w:val="single"/>
        </w:rPr>
        <w:t>1</w:t>
      </w:r>
      <w:r w:rsidR="008609B0">
        <w:rPr>
          <w:rFonts w:ascii="Arial" w:eastAsia="Calibri" w:hAnsi="Arial" w:cs="Arial"/>
          <w:b/>
          <w:sz w:val="22"/>
          <w:szCs w:val="22"/>
          <w:u w:val="single"/>
        </w:rPr>
        <w:t>2</w:t>
      </w:r>
      <w:r w:rsidR="000630ED" w:rsidRPr="00BD1F16">
        <w:rPr>
          <w:rFonts w:ascii="Arial" w:eastAsia="Calibri" w:hAnsi="Arial" w:cs="Arial"/>
          <w:b/>
          <w:sz w:val="22"/>
          <w:szCs w:val="22"/>
          <w:u w:val="single"/>
        </w:rPr>
        <w:t xml:space="preserve"> DE </w:t>
      </w:r>
      <w:r w:rsidR="00BD1F16" w:rsidRPr="00BD1F16">
        <w:rPr>
          <w:rFonts w:ascii="Arial" w:eastAsia="Calibri" w:hAnsi="Arial" w:cs="Arial"/>
          <w:b/>
          <w:sz w:val="22"/>
          <w:szCs w:val="22"/>
          <w:u w:val="single"/>
        </w:rPr>
        <w:t>JU</w:t>
      </w:r>
      <w:r w:rsidR="00B312F6">
        <w:rPr>
          <w:rFonts w:ascii="Arial" w:eastAsia="Calibri" w:hAnsi="Arial" w:cs="Arial"/>
          <w:b/>
          <w:sz w:val="22"/>
          <w:szCs w:val="22"/>
          <w:u w:val="single"/>
        </w:rPr>
        <w:t>L</w:t>
      </w:r>
      <w:r w:rsidR="00BD1F16" w:rsidRPr="00BD1F16">
        <w:rPr>
          <w:rFonts w:ascii="Arial" w:eastAsia="Calibri" w:hAnsi="Arial" w:cs="Arial"/>
          <w:b/>
          <w:sz w:val="22"/>
          <w:szCs w:val="22"/>
          <w:u w:val="single"/>
        </w:rPr>
        <w:t>HO</w:t>
      </w:r>
      <w:r w:rsidRPr="00BD1F16">
        <w:rPr>
          <w:rFonts w:ascii="Arial" w:eastAsia="Calibri" w:hAnsi="Arial" w:cs="Arial"/>
          <w:b/>
          <w:sz w:val="22"/>
          <w:szCs w:val="22"/>
          <w:u w:val="single"/>
        </w:rPr>
        <w:t xml:space="preserve"> DE 2023.</w:t>
      </w:r>
    </w:p>
    <w:p w14:paraId="38267977" w14:textId="77777777" w:rsidR="005D4BFD" w:rsidRPr="00BD1F16" w:rsidRDefault="005D4BFD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70EAD4A" w14:textId="77777777" w:rsidR="005D4BFD" w:rsidRPr="00BD1F16" w:rsidRDefault="00062E24">
      <w:pPr>
        <w:spacing w:after="120"/>
        <w:ind w:left="4247"/>
        <w:jc w:val="both"/>
        <w:rPr>
          <w:rFonts w:ascii="Arial" w:eastAsia="Calibri" w:hAnsi="Arial" w:cs="Arial"/>
          <w:b/>
          <w:sz w:val="22"/>
          <w:szCs w:val="22"/>
        </w:rPr>
      </w:pPr>
      <w:r w:rsidRPr="00BD1F16">
        <w:rPr>
          <w:rFonts w:ascii="Arial" w:eastAsia="Calibri" w:hAnsi="Arial" w:cs="Arial"/>
          <w:b/>
          <w:color w:val="000000"/>
          <w:sz w:val="22"/>
          <w:szCs w:val="22"/>
          <w:highlight w:val="white"/>
        </w:rPr>
        <w:t>Estabelece normas de transição de mandato após eleição municipal no Município de Chopinzinho e dá outras providências.</w:t>
      </w:r>
    </w:p>
    <w:p w14:paraId="491ABF4E" w14:textId="77777777" w:rsidR="005D4BFD" w:rsidRPr="00BD1F16" w:rsidRDefault="005D4BFD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4288037" w14:textId="77777777" w:rsidR="00BD1F16" w:rsidRPr="00BD1F16" w:rsidRDefault="00BD1F16" w:rsidP="00BD1F16">
      <w:pPr>
        <w:autoSpaceDE w:val="0"/>
        <w:spacing w:before="280" w:after="280"/>
        <w:jc w:val="both"/>
        <w:rPr>
          <w:rFonts w:ascii="Arial" w:hAnsi="Arial" w:cs="Arial"/>
          <w:sz w:val="22"/>
          <w:szCs w:val="22"/>
        </w:rPr>
      </w:pPr>
      <w:r w:rsidRPr="00BD1F16">
        <w:rPr>
          <w:rFonts w:ascii="Arial" w:hAnsi="Arial" w:cs="Arial"/>
          <w:b/>
          <w:sz w:val="22"/>
          <w:szCs w:val="22"/>
        </w:rPr>
        <w:t xml:space="preserve">O PREFEITO DE CHOPINZINHO, ESTADO DO PARANÁ, </w:t>
      </w:r>
      <w:r w:rsidRPr="00BD1F16">
        <w:rPr>
          <w:rFonts w:ascii="Arial" w:hAnsi="Arial" w:cs="Arial"/>
          <w:sz w:val="22"/>
          <w:szCs w:val="22"/>
        </w:rPr>
        <w:t>no uso das atribuições que lhe são conferidas por Lei,</w:t>
      </w:r>
    </w:p>
    <w:p w14:paraId="20CB5E20" w14:textId="77777777" w:rsidR="00BD1F16" w:rsidRPr="00BD1F16" w:rsidRDefault="00BD1F16" w:rsidP="00BD1F16">
      <w:pPr>
        <w:spacing w:before="280" w:after="280"/>
        <w:jc w:val="both"/>
        <w:rPr>
          <w:rFonts w:ascii="Arial" w:eastAsia="MS Mincho" w:hAnsi="Arial" w:cs="Arial"/>
          <w:sz w:val="22"/>
          <w:szCs w:val="22"/>
        </w:rPr>
      </w:pPr>
      <w:r w:rsidRPr="00BD1F16">
        <w:rPr>
          <w:rFonts w:ascii="Arial" w:hAnsi="Arial" w:cs="Arial"/>
          <w:sz w:val="22"/>
          <w:szCs w:val="22"/>
        </w:rPr>
        <w:t>Faz saber, que a Câmara Municipal aprovou e eu sanciono e promulgo a seguinte</w:t>
      </w:r>
    </w:p>
    <w:p w14:paraId="0AB7418B" w14:textId="7418F503" w:rsidR="00BD1F16" w:rsidRPr="00BD1F16" w:rsidRDefault="00BD1F16" w:rsidP="00BD1F16">
      <w:pPr>
        <w:autoSpaceDE w:val="0"/>
        <w:spacing w:before="280" w:after="280"/>
        <w:jc w:val="both"/>
        <w:rPr>
          <w:rFonts w:ascii="Arial" w:hAnsi="Arial" w:cs="Arial"/>
          <w:sz w:val="22"/>
          <w:szCs w:val="22"/>
        </w:rPr>
      </w:pPr>
      <w:r w:rsidRPr="00BD1F16">
        <w:rPr>
          <w:rFonts w:ascii="Arial" w:hAnsi="Arial" w:cs="Arial"/>
          <w:b/>
          <w:sz w:val="22"/>
          <w:szCs w:val="22"/>
        </w:rPr>
        <w:t>LEI:</w:t>
      </w:r>
    </w:p>
    <w:p w14:paraId="222A01DB" w14:textId="245750EB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1º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Fica instituída no Município de Chopinzinho a transição democrática de governo nos Poderes Executivo e Legislativo, nos termos previstos nesta lei e no Regimento Interno da Câmara Municipal. </w:t>
      </w:r>
    </w:p>
    <w:p w14:paraId="40960553" w14:textId="6ECB7F71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1º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BD1F16">
        <w:rPr>
          <w:rFonts w:ascii="Arial" w:hAnsi="Arial" w:cs="Arial"/>
          <w:color w:val="000000"/>
          <w:sz w:val="22"/>
          <w:szCs w:val="22"/>
        </w:rPr>
        <w:t>Transição governamental é o processo que objetiva propiciar condições fundamentais para que o candidato eleito para o cargo de Prefeito possa receber, de forma justa e responsável, de seu antecessor todos os dados e informações necessários à implementação do programa do novo governo, desde quando tomar posse, garantindo a possibilidade de planejamento e estruturação do novo governo. </w:t>
      </w:r>
    </w:p>
    <w:p w14:paraId="56572807" w14:textId="04204A46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2º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>  O processo de transição, que se dará com a disponibilização de informações essenciais para garantir um processo democrático e transparente da gestão municipal, deverá ser iniciado no prazo de 10 dias contados da data de homologação oficial do resultado das eleições para o cargo, encerrando-se na data de posse do candidato eleito. </w:t>
      </w:r>
    </w:p>
    <w:p w14:paraId="68A77D71" w14:textId="6692D6F6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3º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No processo de transição serão obedecidos os princípios de legalidade, impessoalidade, moralidade, publicidade e eficiência, ficando também garantidas as prerrogativas da Lei 9.504/1997 – Lei das Eleições, da Lei Complementar 101/2000 – Lei de Responsabilidade Fiscal, e da Lei 12.527/2011 - Lei de Acesso à Informação. </w:t>
      </w:r>
    </w:p>
    <w:p w14:paraId="7C843D47" w14:textId="5332F921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4º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Nos casos de reeleição do Prefeito Municipal em exercício, o mesmo deverá publicar relatório que atenda todos os incisos do art. 12 desta lei, encaminhando cópia ao Legislativo no início da nova gestão. </w:t>
      </w:r>
    </w:p>
    <w:p w14:paraId="782FB5D7" w14:textId="64CD8B0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2º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="00BD1F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1F16">
        <w:rPr>
          <w:rFonts w:ascii="Arial" w:hAnsi="Arial" w:cs="Arial"/>
          <w:color w:val="000000"/>
          <w:sz w:val="22"/>
          <w:szCs w:val="22"/>
        </w:rPr>
        <w:t>O processo de transição governamental tem por objetivo evitar a manipulação de dados e a omissão de informações por parte do governante que sai e para que não haja descontinuidade dos serviços públicos, que causam prejuízos à população, bem como o novo governo tome conhecimento pleno da situação da real da máquina pública que irá assumir, e identificar as necessidades e as possibilidades para a execução de políticas públicas factíveis, responsáveis e realistas durante a sua gestão. </w:t>
      </w:r>
    </w:p>
    <w:p w14:paraId="595FEC6B" w14:textId="0FD22F4D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Parágrafo único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A transição de mandato é uma oportunidade ao mandatário eleito de recebimento e avaliação das informações necessárias à elaboração do seu planejamento e programa de governo.  </w:t>
      </w:r>
    </w:p>
    <w:p w14:paraId="4FFDB3B0" w14:textId="02E35979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lastRenderedPageBreak/>
        <w:t>Art. 3º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No final da gestão, a Câmara dos Vereadores realizará uma avaliação sobre o cumprimento e a execução do conteúdo previsto no Plano de </w:t>
      </w:r>
      <w:r w:rsidR="00D46A23" w:rsidRPr="00BD1F16">
        <w:rPr>
          <w:rFonts w:ascii="Arial" w:hAnsi="Arial" w:cs="Arial"/>
          <w:color w:val="000000"/>
          <w:sz w:val="22"/>
          <w:szCs w:val="22"/>
        </w:rPr>
        <w:t xml:space="preserve">Governo e, caso seja encontrada 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disparidade muito grande em relação ao planejamento inicial e o executado, deverá haver </w:t>
      </w:r>
      <w:r w:rsidR="00D46A23" w:rsidRPr="00BD1F16">
        <w:rPr>
          <w:rFonts w:ascii="Arial" w:hAnsi="Arial" w:cs="Arial"/>
          <w:color w:val="000000"/>
          <w:sz w:val="22"/>
          <w:szCs w:val="22"/>
        </w:rPr>
        <w:t>a</w:t>
      </w:r>
      <w:r w:rsidRPr="00BD1F16">
        <w:rPr>
          <w:rFonts w:ascii="Arial" w:hAnsi="Arial" w:cs="Arial"/>
          <w:color w:val="000000"/>
          <w:sz w:val="22"/>
          <w:szCs w:val="22"/>
        </w:rPr>
        <w:t> abertura de procedimento administrativo e possível punição por improbidade administrativa ao gestor.  </w:t>
      </w:r>
    </w:p>
    <w:p w14:paraId="52E35994" w14:textId="501CAB79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4º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Fica instituído o Comitê de Transição de acordo com o Inciso IV, § 1º, do art. 48, e art. 48-B, da Lei Complementar nº 101, de 04 de maio de 2000 (Lei de Responsabilidade Fiscal). </w:t>
      </w:r>
    </w:p>
    <w:p w14:paraId="76F05928" w14:textId="3B381294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1º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Os membros do Comitê de Transição não serão remunerados pelo desempenho de suas atividades.</w:t>
      </w:r>
      <w:r w:rsidRPr="00BD1F16">
        <w:rPr>
          <w:rFonts w:ascii="Arial" w:hAnsi="Arial" w:cs="Arial"/>
          <w:color w:val="000000"/>
          <w:sz w:val="22"/>
          <w:szCs w:val="22"/>
          <w:vertAlign w:val="superscript"/>
        </w:rPr>
        <w:t> </w:t>
      </w:r>
    </w:p>
    <w:p w14:paraId="7D993DED" w14:textId="22A9EE20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5º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Comitê de Transição a ser nomeado através de Decreto pelo Chefe do Poder Executivo Municipal será formado por dois grupos de pessoas, representando paritariamente a administração concluinte do mandato e a nova administração, que deverão agir de forma interativa, garantindo plena eficiência na transição de mandato, sob a coordenação de um representante do grupo do prefeito eleito. </w:t>
      </w:r>
    </w:p>
    <w:p w14:paraId="7AE9AA99" w14:textId="7A536A64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1º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Para representar a administração concluinte deverão ser nomeados todos os Secretários Municipais em exercício, além de outros integrantes, de forma a abranger as áreas administrativa, financeira, patrimonial e de pessoal, não podendo ficar descobertas áreas essenciais da administração pública como saúde, educação, assistência social, agricultura, viação e obras, desenvolvimento, infraestrutura, dentre outras. </w:t>
      </w:r>
    </w:p>
    <w:p w14:paraId="7142B95F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prefeito eleito poderá sugerir a inclusão de representantes de outras áreas da administração pública no Comitê de Transição para melhor conhecimento de dados e informações. </w:t>
      </w:r>
    </w:p>
    <w:p w14:paraId="27CE7337" w14:textId="0964BAE4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2º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prefeito eleito para o novo mandato fica responsável por montar e indicar seus representantes para integrar o Comitê de Transição. </w:t>
      </w:r>
    </w:p>
    <w:p w14:paraId="3626C8A4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Para compor o Comitê de Transição o prefeito eleito terá a liberdade de escolher e indicar pessoas de sua confiança especialistas ou de conhecimento nas áreas específicas. </w:t>
      </w:r>
    </w:p>
    <w:p w14:paraId="08EC163F" w14:textId="2AA91E1F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6º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Os representantes da Administração Pública Municipal ficam obrigados a fornecer as informações solicitadas pelo Comitê de Transição, bem como a prestar-lhe o apoio técnico e administrativo necessários aos seus trabalhos. </w:t>
      </w:r>
    </w:p>
    <w:p w14:paraId="641E1A1E" w14:textId="42465A8E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7º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Os pedidos de acesso às informações feitos pelo Comitê de Transição, qualquer que seja a sua natureza, deverão ser formulados por escrito e encaminhados ao Coordenador da equipe. </w:t>
      </w:r>
    </w:p>
    <w:p w14:paraId="71DCE9AE" w14:textId="70A62CD1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8º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Todos os membros do Comitê de Transição deverão manter sigilo dos dados e informações confidenciais a que tiverem acesso, sob pena de responsabilização, nos termos da legislação específica. </w:t>
      </w:r>
    </w:p>
    <w:p w14:paraId="55C81CE7" w14:textId="46B7FC68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9º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As reuniões de servidores com integrantes do Comitê de Transição devem ser</w:t>
      </w:r>
      <w:r w:rsidRPr="00BD1F16">
        <w:rPr>
          <w:rFonts w:ascii="Arial" w:hAnsi="Arial" w:cs="Arial"/>
          <w:color w:val="000000"/>
          <w:sz w:val="22"/>
          <w:szCs w:val="22"/>
        </w:rPr>
        <w:br/>
        <w:t>objeto de agendamento e registro em atas que indiquem os participantes, os assuntos a serem</w:t>
      </w:r>
      <w:r w:rsidRPr="00BD1F16">
        <w:rPr>
          <w:rFonts w:ascii="Arial" w:hAnsi="Arial" w:cs="Arial"/>
          <w:color w:val="000000"/>
          <w:sz w:val="22"/>
          <w:szCs w:val="22"/>
        </w:rPr>
        <w:br/>
        <w:t>tratados, as informações solicitadas e o cronograma de atendimento das demandas apresentadas. </w:t>
      </w:r>
    </w:p>
    <w:p w14:paraId="7909BB48" w14:textId="3EE9E86F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lastRenderedPageBreak/>
        <w:t>Art. 10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Os trabalhos do Comitê de Transição serão realizados em dependências apropriadas no prédio do Paço Municipal e deverão seguir um cronograma pré-estabelecido. </w:t>
      </w:r>
    </w:p>
    <w:p w14:paraId="0562B28B" w14:textId="626D8265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11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Fica garantido o acesso do Comitê de Transição a todos os órgãos da administração pública direta e indireta e suas fundações, porém não poderá retirar das dependências destes órgãos quaisquer arquivos, documentos, processos, equipamentos e programas de informática. </w:t>
      </w:r>
    </w:p>
    <w:p w14:paraId="36683BDD" w14:textId="73323240" w:rsidR="003D7C6C" w:rsidRPr="00BD1F16" w:rsidRDefault="003D7C6C" w:rsidP="00BD1F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12</w:t>
      </w:r>
      <w:r w:rsidR="00BD1F16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D1F16">
        <w:rPr>
          <w:rFonts w:ascii="Arial" w:hAnsi="Arial" w:cs="Arial"/>
          <w:color w:val="000000"/>
          <w:sz w:val="22"/>
          <w:szCs w:val="22"/>
        </w:rPr>
        <w:t>Ao final dos trabalhos, o Comitê de Transição apresentará relatório ao chefe do Poder Executivo eleito, contendo: </w:t>
      </w:r>
    </w:p>
    <w:p w14:paraId="1B2A5B3C" w14:textId="77777777" w:rsidR="00BD1F16" w:rsidRDefault="00BD1F16" w:rsidP="00BD1F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CD5E0F" w14:textId="67BEBB75" w:rsidR="003D7C6C" w:rsidRPr="00BD1F16" w:rsidRDefault="003D7C6C" w:rsidP="00BD1F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lei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de diretrizes orçamentárias e lei orçamentária anual para o exercício seguinte; </w:t>
      </w:r>
    </w:p>
    <w:p w14:paraId="7C9E37F1" w14:textId="77777777" w:rsidR="003D7C6C" w:rsidRPr="00BD1F16" w:rsidRDefault="003D7C6C" w:rsidP="003D7C6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color w:val="000000"/>
          <w:sz w:val="22"/>
          <w:szCs w:val="22"/>
        </w:rPr>
        <w:t> </w:t>
      </w:r>
    </w:p>
    <w:p w14:paraId="5CD5183A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demonstrativo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dos saldos disponíveis transferidos do exercício que se encerra para o exercício seguinte, contendo: termo de conferência de saldo em caixa, termo de verificação de saldos bancários, conciliação bancária e relação de valores pertencentes a terceiros e regularmente confiados à guarda da tesouraria; </w:t>
      </w:r>
    </w:p>
    <w:p w14:paraId="760F56B0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III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balancetes mensais referentes ao exercício que se encerra; </w:t>
      </w:r>
    </w:p>
    <w:p w14:paraId="457D942D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IV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demonstrativos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da dívida fundada interna e de operações de crédito, bem como elementos que possibilitem a estimativa da dívida flutuante; </w:t>
      </w:r>
    </w:p>
    <w:p w14:paraId="7DAA4E19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V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relação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dos compromissos financeiros de longo prazo, decorrentes de contratos de execução de obras e serviços, consórcios, convênios e outros, caracterizando o que já foi pago e o saldo a pagar; </w:t>
      </w:r>
    </w:p>
    <w:p w14:paraId="0983076D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VI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inventários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atualizados dos bens patrimoniais; </w:t>
      </w:r>
    </w:p>
    <w:p w14:paraId="02C09B45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VII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demonstrativo do número de servidores efetivos, comissionados e outros, por unidade administrativa; </w:t>
      </w:r>
    </w:p>
    <w:p w14:paraId="32116229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VIII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demonstrativo das obras em andamento, com resumo dos saldos a pagar e indicação, em percentual, do estágio de execução de cada obra; </w:t>
      </w:r>
    </w:p>
    <w:p w14:paraId="5FEF8C4C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IX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relatório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circunstanciado da situação atuarial e patrimonial do órgão previdenciário, caso o ente possua regime próprio; </w:t>
      </w:r>
    </w:p>
    <w:p w14:paraId="03E62272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X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D1F16">
        <w:rPr>
          <w:rFonts w:ascii="Arial" w:hAnsi="Arial" w:cs="Arial"/>
          <w:color w:val="000000"/>
          <w:sz w:val="22"/>
          <w:szCs w:val="22"/>
        </w:rPr>
        <w:t>relatório</w:t>
      </w:r>
      <w:proofErr w:type="gramEnd"/>
      <w:r w:rsidRPr="00BD1F16">
        <w:rPr>
          <w:rFonts w:ascii="Arial" w:hAnsi="Arial" w:cs="Arial"/>
          <w:color w:val="000000"/>
          <w:sz w:val="22"/>
          <w:szCs w:val="22"/>
        </w:rPr>
        <w:t xml:space="preserve"> da situação presente dos débitos previdenciários, acompanhado, em caso de parcelamento perante o Regime Geral da Previdência Social ou o Regime Próprio de Previdência Social, da respectiva legislação autorizativa e de demonstrativo que evidencie as parcelas quitadas e aquelas em aberto; </w:t>
      </w:r>
    </w:p>
    <w:p w14:paraId="3317120C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XI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relação dos precatórios pendentes de pagamento, com indicação dos vencidos e dos vincendos; </w:t>
      </w:r>
    </w:p>
    <w:p w14:paraId="171C2B2E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XII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relação dos contratos vigentes relativos a fornecimento de materiais, produtos ou serviços; </w:t>
      </w:r>
    </w:p>
    <w:p w14:paraId="2EB14EDE" w14:textId="77777777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XIII –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relatório da situação presente dos débitos relativos a pagamento de pessoal, de fornecedores e de contratados. </w:t>
      </w:r>
    </w:p>
    <w:p w14:paraId="632B553E" w14:textId="1B703C9C" w:rsidR="003D7C6C" w:rsidRPr="00BD1F16" w:rsidRDefault="00D46A23" w:rsidP="00BD1F16">
      <w:pPr>
        <w:pStyle w:val="NormalWeb"/>
        <w:shd w:val="clear" w:color="auto" w:fill="FFFFFF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1º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D1F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1F16">
        <w:rPr>
          <w:rFonts w:ascii="Arial" w:hAnsi="Arial" w:cs="Arial"/>
          <w:color w:val="000000"/>
          <w:sz w:val="22"/>
          <w:szCs w:val="22"/>
        </w:rPr>
        <w:t>Os documentos as informações de que trata este artigo deverão ser apresentados até o dia 30 de novembro do ano de encerramento do mandato, salvo aqueles que dependam de consolidação ao final do exercício financeiro, que deverão ser apresentados até o primeiro dia útil do ano subsequente</w:t>
      </w:r>
      <w:r w:rsidR="003D7C6C" w:rsidRPr="00BD1F16">
        <w:rPr>
          <w:rFonts w:ascii="Arial" w:hAnsi="Arial" w:cs="Arial"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720704" w14:textId="1B982B7A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2º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ato de criação do Comitê de Transição de governo e a respectiva composição serão comunicados, no prazo de 5 (cinco) dias contado do ato de criação, ao Poder Legislativo e ao tribunal de contas competentes. </w:t>
      </w:r>
    </w:p>
    <w:p w14:paraId="0183CF9E" w14:textId="16EF14BE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3º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relatório final apresentado pelo Comitê de Transição deverá ser objeto de ampla publicidade. </w:t>
      </w:r>
    </w:p>
    <w:p w14:paraId="38C0857D" w14:textId="3C545FE2" w:rsidR="00D46A23" w:rsidRPr="00BD1F16" w:rsidRDefault="00D46A23" w:rsidP="00BD1F16">
      <w:pPr>
        <w:pStyle w:val="NormalWeb"/>
        <w:shd w:val="clear" w:color="auto" w:fill="FFFFFF"/>
        <w:spacing w:after="20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bCs/>
          <w:color w:val="000000"/>
          <w:sz w:val="22"/>
          <w:szCs w:val="22"/>
        </w:rPr>
        <w:t>§ 4º</w:t>
      </w:r>
      <w:r w:rsidR="00BD1F16" w:rsidRPr="00BD1F1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Deverá ser encaminhado para a Câmara Municipal o relatório final até o primeiro dia útil do ano subsequente ao encerramento do mandato, nos termos dispostos no parágrafo 1º deste artigo, contendo os documentos e informações mencionados, inclusive os que dependam de consolidação. </w:t>
      </w:r>
    </w:p>
    <w:p w14:paraId="4CCDE2E1" w14:textId="70432AFC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Art.1</w:t>
      </w:r>
      <w:r w:rsidR="00BD1F16">
        <w:rPr>
          <w:rFonts w:ascii="Arial" w:hAnsi="Arial" w:cs="Arial"/>
          <w:b/>
          <w:color w:val="000000"/>
          <w:sz w:val="22"/>
          <w:szCs w:val="22"/>
        </w:rPr>
        <w:t>3.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Poder Legislativo deverá instituir mecanismo em seu Regimento Interno para disciplinar a posse e assunção de cargos dos vereadores eleitos para a legislatura seguinte, de forma que os empossados tomem conhecimento da estrutura administrativa da Câmara, de seu funcionamento interno e das competências básicas dos vereadores. </w:t>
      </w:r>
    </w:p>
    <w:p w14:paraId="1185A835" w14:textId="2DBB702D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 14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O disposto nesta Lei não implica em renúncia de outras exigências referentes à transição administrativas constantes da Lei. </w:t>
      </w:r>
    </w:p>
    <w:p w14:paraId="4F92C442" w14:textId="2F9259AB" w:rsidR="003D7C6C" w:rsidRPr="00BD1F16" w:rsidRDefault="003D7C6C" w:rsidP="00BD1F1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1F16">
        <w:rPr>
          <w:rFonts w:ascii="Arial" w:hAnsi="Arial" w:cs="Arial"/>
          <w:b/>
          <w:color w:val="000000"/>
          <w:sz w:val="22"/>
          <w:szCs w:val="22"/>
        </w:rPr>
        <w:t>Art.15</w:t>
      </w:r>
      <w:r w:rsidR="00BD1F16">
        <w:rPr>
          <w:rFonts w:ascii="Arial" w:hAnsi="Arial" w:cs="Arial"/>
          <w:b/>
          <w:color w:val="000000"/>
          <w:sz w:val="22"/>
          <w:szCs w:val="22"/>
        </w:rPr>
        <w:t>.</w:t>
      </w:r>
      <w:r w:rsidRPr="00BD1F16">
        <w:rPr>
          <w:rFonts w:ascii="Arial" w:hAnsi="Arial" w:cs="Arial"/>
          <w:color w:val="000000"/>
          <w:sz w:val="22"/>
          <w:szCs w:val="22"/>
        </w:rPr>
        <w:t xml:space="preserve">  Esta Lei entra em vigor na data de sua publicação. </w:t>
      </w:r>
    </w:p>
    <w:p w14:paraId="4C7FEAFF" w14:textId="77777777" w:rsidR="00B225EA" w:rsidRPr="00BD1F16" w:rsidRDefault="00B225EA" w:rsidP="00F4572F">
      <w:pPr>
        <w:spacing w:line="360" w:lineRule="auto"/>
        <w:ind w:firstLine="993"/>
        <w:jc w:val="both"/>
        <w:rPr>
          <w:rFonts w:ascii="Arial" w:eastAsia="Calibri" w:hAnsi="Arial" w:cs="Arial"/>
          <w:sz w:val="22"/>
          <w:szCs w:val="22"/>
          <w:highlight w:val="white"/>
        </w:rPr>
      </w:pPr>
    </w:p>
    <w:p w14:paraId="2DD66056" w14:textId="59A23CB2" w:rsidR="00BD1F16" w:rsidRPr="003854C1" w:rsidRDefault="00BD1F16" w:rsidP="00BD1F16">
      <w:pPr>
        <w:tabs>
          <w:tab w:val="left" w:pos="284"/>
          <w:tab w:val="left" w:pos="851"/>
        </w:tabs>
        <w:spacing w:before="280" w:after="280"/>
        <w:jc w:val="center"/>
      </w:pPr>
      <w:r w:rsidRPr="003854C1">
        <w:rPr>
          <w:rFonts w:ascii="Arial" w:hAnsi="Arial" w:cs="Arial"/>
          <w:caps/>
        </w:rPr>
        <w:t xml:space="preserve">Gabinete do Prefeito de Chopinzinho-PR, DE </w:t>
      </w:r>
      <w:r w:rsidR="00B312F6">
        <w:rPr>
          <w:rFonts w:ascii="Arial" w:hAnsi="Arial" w:cs="Arial"/>
          <w:caps/>
        </w:rPr>
        <w:t>12</w:t>
      </w:r>
      <w:r w:rsidRPr="003854C1">
        <w:rPr>
          <w:rFonts w:ascii="Arial" w:hAnsi="Arial" w:cs="Arial"/>
          <w:caps/>
        </w:rPr>
        <w:t xml:space="preserve"> DE</w:t>
      </w:r>
      <w:r>
        <w:rPr>
          <w:rFonts w:ascii="Arial" w:hAnsi="Arial" w:cs="Arial"/>
          <w:caps/>
        </w:rPr>
        <w:t xml:space="preserve"> JU</w:t>
      </w:r>
      <w:r w:rsidR="00B312F6">
        <w:rPr>
          <w:rFonts w:ascii="Arial" w:hAnsi="Arial" w:cs="Arial"/>
          <w:caps/>
        </w:rPr>
        <w:t>l</w:t>
      </w:r>
      <w:r>
        <w:rPr>
          <w:rFonts w:ascii="Arial" w:hAnsi="Arial" w:cs="Arial"/>
          <w:caps/>
        </w:rPr>
        <w:t>HO</w:t>
      </w:r>
      <w:r w:rsidRPr="003854C1">
        <w:rPr>
          <w:rFonts w:ascii="Arial" w:hAnsi="Arial" w:cs="Arial"/>
          <w:caps/>
        </w:rPr>
        <w:t xml:space="preserve"> de 202</w:t>
      </w:r>
      <w:r>
        <w:rPr>
          <w:rFonts w:ascii="Arial" w:hAnsi="Arial" w:cs="Arial"/>
          <w:caps/>
        </w:rPr>
        <w:t>3</w:t>
      </w:r>
      <w:r w:rsidRPr="003854C1">
        <w:rPr>
          <w:rFonts w:ascii="Arial" w:hAnsi="Arial" w:cs="Arial"/>
        </w:rPr>
        <w:t>.</w:t>
      </w:r>
    </w:p>
    <w:p w14:paraId="143A8F39" w14:textId="77777777" w:rsidR="00BD1F16" w:rsidRPr="003854C1" w:rsidRDefault="00BD1F16" w:rsidP="00BD1F16">
      <w:pPr>
        <w:tabs>
          <w:tab w:val="left" w:pos="284"/>
          <w:tab w:val="left" w:pos="1134"/>
        </w:tabs>
        <w:jc w:val="center"/>
        <w:rPr>
          <w:rFonts w:ascii="Arial" w:hAnsi="Arial" w:cs="Arial"/>
          <w:bCs/>
        </w:rPr>
      </w:pPr>
    </w:p>
    <w:p w14:paraId="2595383A" w14:textId="77777777" w:rsidR="00BD1F16" w:rsidRPr="003854C1" w:rsidRDefault="00BD1F16" w:rsidP="00BD1F16">
      <w:pPr>
        <w:tabs>
          <w:tab w:val="left" w:pos="284"/>
          <w:tab w:val="left" w:pos="1134"/>
        </w:tabs>
        <w:jc w:val="center"/>
        <w:rPr>
          <w:rFonts w:ascii="Arial" w:hAnsi="Arial" w:cs="Arial"/>
          <w:bCs/>
        </w:rPr>
      </w:pPr>
      <w:r w:rsidRPr="003854C1">
        <w:rPr>
          <w:rFonts w:ascii="Arial" w:hAnsi="Arial" w:cs="Arial"/>
          <w:b/>
          <w:bCs/>
        </w:rPr>
        <w:t>Edson Luiz Cenci</w:t>
      </w:r>
    </w:p>
    <w:p w14:paraId="689ADD96" w14:textId="77777777" w:rsidR="00BD1F16" w:rsidRDefault="00BD1F16" w:rsidP="00BD1F16">
      <w:pPr>
        <w:tabs>
          <w:tab w:val="left" w:pos="284"/>
          <w:tab w:val="left" w:pos="1134"/>
        </w:tabs>
        <w:jc w:val="center"/>
        <w:rPr>
          <w:rFonts w:ascii="Arial" w:hAnsi="Arial" w:cs="Arial"/>
          <w:bCs/>
        </w:rPr>
      </w:pPr>
      <w:r w:rsidRPr="003854C1">
        <w:rPr>
          <w:rFonts w:ascii="Arial" w:hAnsi="Arial" w:cs="Arial"/>
          <w:bCs/>
        </w:rPr>
        <w:t xml:space="preserve">Prefeito </w:t>
      </w:r>
    </w:p>
    <w:p w14:paraId="28B812EC" w14:textId="77777777" w:rsidR="00D46A23" w:rsidRPr="00BD1F16" w:rsidRDefault="00D46A23" w:rsidP="00D46A23">
      <w:pPr>
        <w:rPr>
          <w:rFonts w:ascii="Arial" w:eastAsia="Calibri" w:hAnsi="Arial" w:cs="Arial"/>
          <w:sz w:val="22"/>
          <w:szCs w:val="22"/>
        </w:rPr>
      </w:pPr>
    </w:p>
    <w:p w14:paraId="38BABA3B" w14:textId="77777777" w:rsidR="0000449B" w:rsidRPr="00BD1F16" w:rsidRDefault="0000449B" w:rsidP="00D46A23">
      <w:pPr>
        <w:rPr>
          <w:rFonts w:ascii="Arial" w:eastAsia="Calibri" w:hAnsi="Arial" w:cs="Arial"/>
          <w:sz w:val="22"/>
          <w:szCs w:val="22"/>
        </w:rPr>
      </w:pPr>
    </w:p>
    <w:p w14:paraId="6E8742BF" w14:textId="1ECD14EA" w:rsidR="0000449B" w:rsidRPr="00BD1F16" w:rsidRDefault="00BD1F16" w:rsidP="00D46A23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C35E2B" wp14:editId="21B40C1A">
                <wp:simplePos x="0" y="0"/>
                <wp:positionH relativeFrom="column">
                  <wp:posOffset>-50800</wp:posOffset>
                </wp:positionH>
                <wp:positionV relativeFrom="paragraph">
                  <wp:posOffset>187325</wp:posOffset>
                </wp:positionV>
                <wp:extent cx="2448560" cy="742950"/>
                <wp:effectExtent l="12065" t="12065" r="6350" b="6985"/>
                <wp:wrapNone/>
                <wp:docPr id="2140131872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A5EF" w14:textId="77777777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Publicado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Diário Oficial dos Municípios do Estado do Paraná – AMP</w:t>
                            </w:r>
                          </w:p>
                          <w:p w14:paraId="26F884E3" w14:textId="77777777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SIGPUB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Sistema Gerenciador de Publicações Legais</w:t>
                            </w:r>
                          </w:p>
                          <w:p w14:paraId="270EC1BF" w14:textId="437819F8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EDIÇÃO Nº _______ de ___/___/2023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35E2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4pt;margin-top:14.75pt;width:192.8pt;height:58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">
                <v:textbox>
                  <w:txbxContent>
                    <w:p w14:paraId="3266A5EF" w14:textId="77777777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Publicado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Diário Oficial dos Municípios do Estado do Paraná – AMP</w:t>
                      </w:r>
                    </w:p>
                    <w:p w14:paraId="26F884E3" w14:textId="77777777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SIGPUB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Sistema Gerenciador de Publicações Legais</w:t>
                      </w:r>
                    </w:p>
                    <w:p w14:paraId="270EC1BF" w14:textId="437819F8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EDIÇÃO Nº _______ de ___/___/2023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56188701" w14:textId="3BA1D2B4" w:rsidR="0000449B" w:rsidRPr="00BD1F16" w:rsidRDefault="00BD1F16" w:rsidP="00D46A23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1C35E2B" wp14:editId="39977174">
                <wp:simplePos x="0" y="0"/>
                <wp:positionH relativeFrom="column">
                  <wp:posOffset>1025525</wp:posOffset>
                </wp:positionH>
                <wp:positionV relativeFrom="paragraph">
                  <wp:posOffset>3133725</wp:posOffset>
                </wp:positionV>
                <wp:extent cx="2448560" cy="742950"/>
                <wp:effectExtent l="0" t="0" r="27940" b="19050"/>
                <wp:wrapNone/>
                <wp:docPr id="2412007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D304C" w14:textId="77777777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Publicado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Diário Oficial dos Municípios do Estado do Paraná – AMP</w:t>
                            </w:r>
                          </w:p>
                          <w:p w14:paraId="3C72BE9C" w14:textId="77777777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SIGPUB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Sistema Gerenciador de Publicações Legais</w:t>
                            </w:r>
                          </w:p>
                          <w:p w14:paraId="190728D6" w14:textId="77777777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EDIÇÃO Nº 2799 de 23/06/2023</w:t>
                            </w:r>
                          </w:p>
                          <w:p w14:paraId="44873669" w14:textId="77777777" w:rsidR="00BD1F16" w:rsidRDefault="00BD1F16" w:rsidP="00BD1F16">
                            <w:pPr>
                              <w:ind w:left="11" w:right="23" w:hanging="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5E2B" id="Caixa de Texto 2" o:spid="_x0000_s1027" type="#_x0000_t202" style="position:absolute;margin-left:80.75pt;margin-top:246.75pt;width:192.8pt;height:58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">
                <v:textbox>
                  <w:txbxContent>
                    <w:p w14:paraId="6E3D304C" w14:textId="77777777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Publicado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Diário Oficial dos Municípios do Estado do Paraná – AMP</w:t>
                      </w:r>
                    </w:p>
                    <w:p w14:paraId="3C72BE9C" w14:textId="77777777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SIGPUB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Sistema Gerenciador de Publicações Legais</w:t>
                      </w:r>
                    </w:p>
                    <w:p w14:paraId="190728D6" w14:textId="77777777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EDIÇÃO Nº 2799 de 23/06/2023</w:t>
                      </w:r>
                    </w:p>
                    <w:p w14:paraId="44873669" w14:textId="77777777" w:rsidR="00BD1F16" w:rsidRDefault="00BD1F16" w:rsidP="00BD1F16">
                      <w:pPr>
                        <w:ind w:left="11" w:right="23" w:hanging="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027AE" w14:textId="77777777" w:rsidR="0000449B" w:rsidRPr="00BD1F16" w:rsidRDefault="0000449B" w:rsidP="00D46A23">
      <w:pPr>
        <w:rPr>
          <w:rFonts w:ascii="Arial" w:eastAsia="Calibri" w:hAnsi="Arial" w:cs="Arial"/>
          <w:sz w:val="22"/>
          <w:szCs w:val="22"/>
        </w:rPr>
      </w:pPr>
    </w:p>
    <w:p w14:paraId="4EFEEA6B" w14:textId="77777777" w:rsidR="0000449B" w:rsidRPr="00BD1F16" w:rsidRDefault="0000449B" w:rsidP="00D46A23">
      <w:pPr>
        <w:rPr>
          <w:rFonts w:ascii="Arial" w:eastAsia="Calibri" w:hAnsi="Arial" w:cs="Arial"/>
          <w:sz w:val="22"/>
          <w:szCs w:val="22"/>
        </w:rPr>
      </w:pPr>
    </w:p>
    <w:p w14:paraId="2473EB28" w14:textId="484656CC" w:rsidR="0000449B" w:rsidRPr="00BD1F16" w:rsidRDefault="0000449B" w:rsidP="00D46A23">
      <w:pPr>
        <w:rPr>
          <w:rFonts w:ascii="Arial" w:eastAsia="Calibri" w:hAnsi="Arial" w:cs="Arial"/>
          <w:sz w:val="22"/>
          <w:szCs w:val="22"/>
        </w:rPr>
      </w:pPr>
    </w:p>
    <w:p w14:paraId="0E1120AC" w14:textId="77777777" w:rsidR="0000449B" w:rsidRPr="00BD1F16" w:rsidRDefault="0000449B" w:rsidP="00D46A23">
      <w:pPr>
        <w:rPr>
          <w:rFonts w:ascii="Arial" w:eastAsia="Calibri" w:hAnsi="Arial" w:cs="Arial"/>
          <w:sz w:val="22"/>
          <w:szCs w:val="22"/>
        </w:rPr>
      </w:pPr>
    </w:p>
    <w:p w14:paraId="421F105F" w14:textId="77777777" w:rsidR="0000449B" w:rsidRPr="00BD1F16" w:rsidRDefault="0000449B" w:rsidP="00D46A23">
      <w:pPr>
        <w:rPr>
          <w:rFonts w:ascii="Arial" w:eastAsia="Calibri" w:hAnsi="Arial" w:cs="Arial"/>
          <w:sz w:val="22"/>
          <w:szCs w:val="22"/>
        </w:rPr>
      </w:pPr>
    </w:p>
    <w:p w14:paraId="28C8C6D9" w14:textId="11045B8E" w:rsidR="00F83644" w:rsidRDefault="00F83644" w:rsidP="00CC78B9">
      <w:pPr>
        <w:spacing w:line="360" w:lineRule="auto"/>
        <w:rPr>
          <w:rFonts w:ascii="Arial" w:eastAsia="Calibri" w:hAnsi="Arial" w:cs="Arial"/>
          <w:sz w:val="22"/>
          <w:szCs w:val="22"/>
        </w:rPr>
      </w:pPr>
      <w:bookmarkStart w:id="0" w:name="_gjdgxs" w:colFirst="0" w:colLast="0"/>
      <w:bookmarkEnd w:id="0"/>
    </w:p>
    <w:p w14:paraId="1EDF6608" w14:textId="77777777" w:rsidR="00BD1F16" w:rsidRDefault="00BD1F16" w:rsidP="00CC78B9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499310A3" w14:textId="77777777" w:rsidR="00BD1F16" w:rsidRDefault="00BD1F16" w:rsidP="00CC78B9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3C1365CC" w14:textId="2B88FB66" w:rsidR="00BD1F16" w:rsidRPr="00BD1F16" w:rsidRDefault="00BD1F16" w:rsidP="00CC78B9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sectPr w:rsidR="00BD1F16" w:rsidRPr="00BD1F16">
      <w:headerReference w:type="default" r:id="rId6"/>
      <w:pgSz w:w="11906" w:h="16838"/>
      <w:pgMar w:top="1701" w:right="1134" w:bottom="1134" w:left="1701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D09B" w14:textId="77777777" w:rsidR="00BC6438" w:rsidRDefault="00BC6438">
      <w:r>
        <w:separator/>
      </w:r>
    </w:p>
  </w:endnote>
  <w:endnote w:type="continuationSeparator" w:id="0">
    <w:p w14:paraId="7BA7CED3" w14:textId="77777777" w:rsidR="00BC6438" w:rsidRDefault="00BC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325F" w14:textId="77777777" w:rsidR="00BC6438" w:rsidRDefault="00BC6438">
      <w:r>
        <w:separator/>
      </w:r>
    </w:p>
  </w:footnote>
  <w:footnote w:type="continuationSeparator" w:id="0">
    <w:p w14:paraId="4FBD8C4C" w14:textId="77777777" w:rsidR="00BC6438" w:rsidRDefault="00BC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4EDF" w14:textId="18563D36" w:rsidR="005D4BFD" w:rsidRDefault="00BD1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77856965" wp14:editId="7EB98F14">
          <wp:simplePos x="0" y="0"/>
          <wp:positionH relativeFrom="margin">
            <wp:align>right</wp:align>
          </wp:positionH>
          <wp:positionV relativeFrom="paragraph">
            <wp:posOffset>-80010</wp:posOffset>
          </wp:positionV>
          <wp:extent cx="5760085" cy="1501775"/>
          <wp:effectExtent l="0" t="0" r="0" b="3175"/>
          <wp:wrapSquare wrapText="bothSides"/>
          <wp:docPr id="9598112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75" r="-1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501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FD"/>
    <w:rsid w:val="0000449B"/>
    <w:rsid w:val="00062E24"/>
    <w:rsid w:val="000630ED"/>
    <w:rsid w:val="00186C80"/>
    <w:rsid w:val="002900E6"/>
    <w:rsid w:val="003D7C6C"/>
    <w:rsid w:val="005364A9"/>
    <w:rsid w:val="005D4BFD"/>
    <w:rsid w:val="00607AE4"/>
    <w:rsid w:val="00762C04"/>
    <w:rsid w:val="008015E3"/>
    <w:rsid w:val="008609B0"/>
    <w:rsid w:val="00896BBE"/>
    <w:rsid w:val="0091304B"/>
    <w:rsid w:val="00A02838"/>
    <w:rsid w:val="00B21CEB"/>
    <w:rsid w:val="00B225EA"/>
    <w:rsid w:val="00B312F6"/>
    <w:rsid w:val="00BC6438"/>
    <w:rsid w:val="00BD1F16"/>
    <w:rsid w:val="00BF1C70"/>
    <w:rsid w:val="00C14DAF"/>
    <w:rsid w:val="00CC78B9"/>
    <w:rsid w:val="00D46A23"/>
    <w:rsid w:val="00E5248F"/>
    <w:rsid w:val="00F4572F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3B9A2E"/>
  <w15:docId w15:val="{001C2BB8-877C-45C5-84FB-07A68DC2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Verdana" w:eastAsia="Verdana" w:hAnsi="Verdana" w:cs="Verdana"/>
      <w:b/>
      <w:sz w:val="20"/>
      <w:szCs w:val="20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6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64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F83644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83644"/>
  </w:style>
  <w:style w:type="paragraph" w:styleId="NormalWeb">
    <w:name w:val="Normal (Web)"/>
    <w:basedOn w:val="Normal"/>
    <w:uiPriority w:val="99"/>
    <w:semiHidden/>
    <w:unhideWhenUsed/>
    <w:rsid w:val="00186C8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E524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48F"/>
  </w:style>
  <w:style w:type="paragraph" w:styleId="Rodap">
    <w:name w:val="footer"/>
    <w:basedOn w:val="Normal"/>
    <w:link w:val="RodapChar"/>
    <w:uiPriority w:val="99"/>
    <w:unhideWhenUsed/>
    <w:rsid w:val="00E524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1459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Antonia Schizzi</cp:lastModifiedBy>
  <cp:revision>5</cp:revision>
  <cp:lastPrinted>2023-06-29T13:52:00Z</cp:lastPrinted>
  <dcterms:created xsi:type="dcterms:W3CDTF">2023-06-29T13:21:00Z</dcterms:created>
  <dcterms:modified xsi:type="dcterms:W3CDTF">2023-07-13T11:14:00Z</dcterms:modified>
</cp:coreProperties>
</file>